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57A" w:rsidRPr="00712864" w:rsidRDefault="00E2557A" w:rsidP="00E2557A">
      <w:pPr>
        <w:tabs>
          <w:tab w:val="left" w:pos="1770"/>
        </w:tabs>
        <w:spacing w:after="0"/>
        <w:ind w:right="142"/>
        <w:rPr>
          <w:b/>
          <w:sz w:val="16"/>
          <w:szCs w:val="16"/>
        </w:rPr>
      </w:pPr>
      <w:bookmarkStart w:id="0" w:name="_GoBack"/>
      <w:bookmarkEnd w:id="0"/>
      <w:r>
        <w:rPr>
          <w:b/>
        </w:rPr>
        <w:tab/>
      </w:r>
    </w:p>
    <w:p w:rsidR="00E2557A" w:rsidRPr="005E09FF" w:rsidRDefault="00E2557A" w:rsidP="00E2557A">
      <w:pPr>
        <w:ind w:right="141"/>
        <w:jc w:val="center"/>
        <w:rPr>
          <w:b/>
        </w:rPr>
      </w:pPr>
      <w:r>
        <w:rPr>
          <w:b/>
        </w:rPr>
        <w:t>OECD</w:t>
      </w:r>
      <w:r w:rsidRPr="005E09FF">
        <w:rPr>
          <w:b/>
        </w:rPr>
        <w:t xml:space="preserve"> MAYIS 2019</w:t>
      </w:r>
      <w:r>
        <w:rPr>
          <w:b/>
        </w:rPr>
        <w:t xml:space="preserve"> EKONOMİK GÖRÜNÜM RAPORU BİLGİ NOTU</w:t>
      </w:r>
    </w:p>
    <w:p w:rsidR="00E2557A" w:rsidRDefault="00E2557A" w:rsidP="00E2557A">
      <w:pPr>
        <w:ind w:right="141"/>
        <w:jc w:val="both"/>
        <w:rPr>
          <w:b/>
        </w:rPr>
      </w:pPr>
      <w:r>
        <w:t xml:space="preserve">OECD tarafından 2019 yılı Mayıs ayına ilişkin Ekonomik Görünüm Raporu yayımlanmış olup söz konusu raporda Küresel büyüme 2019 yılında “Mart Ara Dönem Güncelleme Raporuna” kıyasla </w:t>
      </w:r>
      <w:r w:rsidRPr="00B923DD">
        <w:rPr>
          <w:b/>
        </w:rPr>
        <w:t xml:space="preserve">0,1 puan aşağı yönlü </w:t>
      </w:r>
      <w:r w:rsidR="004A1996">
        <w:rPr>
          <w:b/>
        </w:rPr>
        <w:t>revize ile %3,2</w:t>
      </w:r>
      <w:r>
        <w:rPr>
          <w:b/>
        </w:rPr>
        <w:t xml:space="preserve"> olarak tahmin edilmiştir.</w:t>
      </w:r>
    </w:p>
    <w:p w:rsidR="00E2557A" w:rsidRPr="00712864" w:rsidRDefault="00E2557A" w:rsidP="00E2557A">
      <w:pPr>
        <w:ind w:right="141"/>
        <w:jc w:val="both"/>
      </w:pPr>
      <w:r w:rsidRPr="00712864">
        <w:t>Raporda ayrıca;</w:t>
      </w:r>
    </w:p>
    <w:p w:rsidR="00E2557A" w:rsidRDefault="00E2557A" w:rsidP="00E2557A">
      <w:pPr>
        <w:pStyle w:val="ListeParagraf"/>
        <w:numPr>
          <w:ilvl w:val="0"/>
          <w:numId w:val="2"/>
        </w:numPr>
        <w:ind w:right="141"/>
        <w:jc w:val="both"/>
      </w:pPr>
      <w:r>
        <w:t>Ticaret ve yatırımların keskin şekilde yavaşladığı,</w:t>
      </w:r>
    </w:p>
    <w:p w:rsidR="00E2557A" w:rsidRDefault="00E2557A" w:rsidP="00E2557A">
      <w:pPr>
        <w:pStyle w:val="ListeParagraf"/>
        <w:numPr>
          <w:ilvl w:val="0"/>
          <w:numId w:val="2"/>
        </w:numPr>
        <w:ind w:right="141"/>
        <w:jc w:val="both"/>
      </w:pPr>
      <w:r>
        <w:t>Özellikle Avrupa ve Çin’de reel sektör ve tüketici güveninin düştüğü ve politika belirsizliklerinin varlığını koruduğu,</w:t>
      </w:r>
    </w:p>
    <w:p w:rsidR="00E2557A" w:rsidRDefault="00E2557A" w:rsidP="00E2557A">
      <w:pPr>
        <w:pStyle w:val="ListeParagraf"/>
        <w:numPr>
          <w:ilvl w:val="0"/>
          <w:numId w:val="2"/>
        </w:numPr>
        <w:ind w:right="141"/>
        <w:jc w:val="both"/>
      </w:pPr>
      <w:r>
        <w:t>Majör ekonomilerin para politikasındaki sıkı duruşun gevşemesi ve işgücü piyasasının olumlu performansının etkisiyle hane halkı gelirlerinin artması sonucu finansal koşulların gevşediği,</w:t>
      </w:r>
    </w:p>
    <w:p w:rsidR="00E2557A" w:rsidRDefault="00E2557A" w:rsidP="00E2557A">
      <w:pPr>
        <w:pStyle w:val="ListeParagraf"/>
        <w:numPr>
          <w:ilvl w:val="0"/>
          <w:numId w:val="2"/>
        </w:numPr>
        <w:ind w:right="141"/>
        <w:jc w:val="both"/>
      </w:pPr>
      <w:r>
        <w:t>Kamu maliyesi açısından Çin de dâhil olmak üzere birkaç ülkenin önemli ölçüde mali gevşeme yönünde politika uyguladığı ancak birçok ülkede mali politikanın büyümeye sınırlı ölçüde destek verdiği,</w:t>
      </w:r>
    </w:p>
    <w:p w:rsidR="00E2557A" w:rsidRDefault="00E2557A" w:rsidP="00E2557A">
      <w:pPr>
        <w:pStyle w:val="ListeParagraf"/>
        <w:numPr>
          <w:ilvl w:val="0"/>
          <w:numId w:val="2"/>
        </w:numPr>
        <w:ind w:right="141"/>
        <w:jc w:val="both"/>
      </w:pPr>
      <w:r>
        <w:t>Büyümedeki yavaşlamanın 2019 yılı içinde genel bir görünüm sergileyeceğinin, hemen hemen her ülkenin büyümesinin 2019’da daha ılımlı olacağının tahmin edildiği,</w:t>
      </w:r>
    </w:p>
    <w:p w:rsidR="00E2557A" w:rsidRDefault="00E2557A" w:rsidP="00E2557A">
      <w:pPr>
        <w:pStyle w:val="ListeParagraf"/>
        <w:numPr>
          <w:ilvl w:val="0"/>
          <w:numId w:val="2"/>
        </w:numPr>
        <w:ind w:right="141"/>
        <w:jc w:val="both"/>
      </w:pPr>
      <w:r>
        <w:t>Küresel ticaret büyümesinin 2019 yılında %2,1 ile 2008 krizinden bu yana en yavaş büyümesini gerçekleştirmesinin beklendiği,</w:t>
      </w:r>
    </w:p>
    <w:p w:rsidR="00E2557A" w:rsidRDefault="00E2557A" w:rsidP="00E2557A">
      <w:pPr>
        <w:pStyle w:val="ListeParagraf"/>
        <w:numPr>
          <w:ilvl w:val="0"/>
          <w:numId w:val="2"/>
        </w:numPr>
        <w:ind w:right="141"/>
        <w:jc w:val="both"/>
      </w:pPr>
      <w:r>
        <w:t>Enflasyonist baskıların zayıf kalmaya devam ettiği,</w:t>
      </w:r>
    </w:p>
    <w:p w:rsidR="00E2557A" w:rsidRDefault="00E2557A" w:rsidP="00E2557A">
      <w:pPr>
        <w:ind w:right="141"/>
        <w:jc w:val="both"/>
      </w:pPr>
      <w:r>
        <w:t>İfade edilmiştir.</w:t>
      </w:r>
    </w:p>
    <w:p w:rsidR="00E2557A" w:rsidRDefault="00E2557A" w:rsidP="00E2557A">
      <w:pPr>
        <w:ind w:right="141"/>
        <w:jc w:val="both"/>
      </w:pPr>
      <w:r w:rsidRPr="00B923DD">
        <w:rPr>
          <w:u w:val="single"/>
        </w:rPr>
        <w:t>Küresel ekonomiyi olumsuz etkileyecek aşağı yönlü riskler</w:t>
      </w:r>
      <w:r>
        <w:t>;</w:t>
      </w:r>
    </w:p>
    <w:p w:rsidR="00E2557A" w:rsidRDefault="00E2557A" w:rsidP="00E2557A">
      <w:pPr>
        <w:pStyle w:val="ListeParagraf"/>
        <w:numPr>
          <w:ilvl w:val="0"/>
          <w:numId w:val="3"/>
        </w:numPr>
        <w:ind w:right="141"/>
        <w:jc w:val="both"/>
      </w:pPr>
      <w:r>
        <w:t>Çin ve ABD arasındaki ticari gerginliğin sürmesi ve yeni tarifelerin uygulanma kararı alınması,</w:t>
      </w:r>
    </w:p>
    <w:p w:rsidR="00E2557A" w:rsidRDefault="00E2557A" w:rsidP="00E2557A">
      <w:pPr>
        <w:pStyle w:val="ListeParagraf"/>
        <w:numPr>
          <w:ilvl w:val="0"/>
          <w:numId w:val="3"/>
        </w:numPr>
        <w:ind w:right="141"/>
        <w:jc w:val="both"/>
      </w:pPr>
      <w:r>
        <w:t>Çin ekonomisinde daha keskin bir yavaşlamayı önlemek adına uygulanan teşvik politikalarının başarısızlığı,</w:t>
      </w:r>
    </w:p>
    <w:p w:rsidR="00E2557A" w:rsidRDefault="00E2557A" w:rsidP="00E2557A">
      <w:pPr>
        <w:pStyle w:val="ListeParagraf"/>
        <w:numPr>
          <w:ilvl w:val="0"/>
          <w:numId w:val="3"/>
        </w:numPr>
        <w:ind w:right="141"/>
        <w:jc w:val="both"/>
      </w:pPr>
      <w:r>
        <w:t>Avrupa’daki siyasi belirsizlik ve vasatın altındaki büyüme performansı, BREXIT sürecindeki uzun süreli belirsizlik,</w:t>
      </w:r>
    </w:p>
    <w:p w:rsidR="00E2557A" w:rsidRDefault="00E2557A" w:rsidP="00E2557A">
      <w:pPr>
        <w:pStyle w:val="ListeParagraf"/>
        <w:numPr>
          <w:ilvl w:val="0"/>
          <w:numId w:val="3"/>
        </w:numPr>
        <w:ind w:right="141"/>
        <w:jc w:val="both"/>
      </w:pPr>
      <w:r>
        <w:t>Varlık kalitesindeki bozulma ve yüksek borçluluktan kaynaklı finansal kırılganlıklar,</w:t>
      </w:r>
    </w:p>
    <w:p w:rsidR="00E2557A" w:rsidRDefault="00E2557A" w:rsidP="00E2557A">
      <w:pPr>
        <w:ind w:right="141"/>
        <w:jc w:val="both"/>
      </w:pPr>
      <w:r>
        <w:lastRenderedPageBreak/>
        <w:t>olarak belirtilirken; Politika yapıcıların politikaya bağlı belirsizliği azaltmaya ve ticaretteki engelleri azaltan tedbirler de dâhil olmak üzere orta vadeli büyüme umutlarını güçlendirmeye yönelik kararlı eylemlerinin küresel ölçekte yatırım ve güveni artırması</w:t>
      </w:r>
      <w:r w:rsidRPr="00712864">
        <w:rPr>
          <w:u w:val="single"/>
        </w:rPr>
        <w:t xml:space="preserve"> pozitif gelişmeler olarak</w:t>
      </w:r>
      <w:r>
        <w:t xml:space="preserve"> ifade edilmiştir.</w:t>
      </w:r>
    </w:p>
    <w:p w:rsidR="00E2557A" w:rsidRPr="00712864" w:rsidRDefault="00E2557A" w:rsidP="00E2557A">
      <w:pPr>
        <w:spacing w:after="0"/>
        <w:rPr>
          <w:b/>
          <w:sz w:val="20"/>
          <w:szCs w:val="20"/>
        </w:rPr>
      </w:pPr>
      <w:r>
        <w:rPr>
          <w:b/>
          <w:sz w:val="20"/>
          <w:szCs w:val="20"/>
        </w:rPr>
        <w:t xml:space="preserve">                              </w:t>
      </w:r>
      <w:r w:rsidRPr="00712864">
        <w:rPr>
          <w:b/>
          <w:sz w:val="20"/>
          <w:szCs w:val="20"/>
        </w:rPr>
        <w:t>Tablo 1: OECD Küresel Makro Göstergeler Tahmini</w:t>
      </w:r>
    </w:p>
    <w:p w:rsidR="00E2557A" w:rsidRDefault="00E2557A" w:rsidP="00E2557A">
      <w:pPr>
        <w:ind w:right="141"/>
        <w:jc w:val="center"/>
      </w:pPr>
      <w:r>
        <w:rPr>
          <w:noProof/>
          <w:lang w:eastAsia="tr-TR"/>
        </w:rPr>
        <w:drawing>
          <wp:inline distT="0" distB="0" distL="0" distR="0" wp14:anchorId="425CD6AA" wp14:editId="7EA41F3B">
            <wp:extent cx="3895725" cy="2619375"/>
            <wp:effectExtent l="0" t="0" r="9525" b="952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2619375"/>
                    </a:xfrm>
                    <a:prstGeom prst="rect">
                      <a:avLst/>
                    </a:prstGeom>
                    <a:noFill/>
                    <a:ln>
                      <a:noFill/>
                    </a:ln>
                  </pic:spPr>
                </pic:pic>
              </a:graphicData>
            </a:graphic>
          </wp:inline>
        </w:drawing>
      </w:r>
    </w:p>
    <w:p w:rsidR="00E2557A" w:rsidRDefault="00E2557A" w:rsidP="00E2557A">
      <w:pPr>
        <w:ind w:right="141"/>
        <w:jc w:val="both"/>
        <w:rPr>
          <w:b/>
          <w:u w:val="single"/>
        </w:rPr>
      </w:pPr>
    </w:p>
    <w:p w:rsidR="00E2557A" w:rsidRDefault="00E2557A" w:rsidP="00E2557A">
      <w:pPr>
        <w:ind w:right="141"/>
        <w:jc w:val="both"/>
      </w:pPr>
      <w:r w:rsidRPr="00B923DD">
        <w:rPr>
          <w:b/>
          <w:u w:val="single"/>
        </w:rPr>
        <w:t>Raporda Türkiye’ye ilişkin olarak ise</w:t>
      </w:r>
      <w:r>
        <w:t>;</w:t>
      </w:r>
    </w:p>
    <w:p w:rsidR="00E2557A" w:rsidRDefault="00E2557A" w:rsidP="00E2557A">
      <w:pPr>
        <w:pStyle w:val="ListeParagraf"/>
        <w:numPr>
          <w:ilvl w:val="0"/>
          <w:numId w:val="1"/>
        </w:numPr>
        <w:ind w:right="141"/>
        <w:jc w:val="both"/>
      </w:pPr>
      <w:r>
        <w:t xml:space="preserve">2019 yılında büyümenin bir önceki rapora kıyasla </w:t>
      </w:r>
      <w:r w:rsidRPr="00712864">
        <w:rPr>
          <w:b/>
        </w:rPr>
        <w:t>0,8 puan aşağı yönlü revize ile -%2,6</w:t>
      </w:r>
      <w:r>
        <w:t xml:space="preserve">; 2020 yılında ise </w:t>
      </w:r>
      <w:r w:rsidRPr="00712864">
        <w:rPr>
          <w:b/>
        </w:rPr>
        <w:t>1,6 yüzde puan aşağı yönlü revize ile %1,6</w:t>
      </w:r>
      <w:r>
        <w:t xml:space="preserve"> olarak gerçekleşeceğinin beklendiği,</w:t>
      </w:r>
    </w:p>
    <w:p w:rsidR="00E2557A" w:rsidRDefault="00E2557A" w:rsidP="00E2557A">
      <w:pPr>
        <w:pStyle w:val="ListeParagraf"/>
        <w:numPr>
          <w:ilvl w:val="0"/>
          <w:numId w:val="1"/>
        </w:numPr>
        <w:ind w:right="141"/>
        <w:jc w:val="both"/>
      </w:pPr>
      <w:r w:rsidRPr="00F36286">
        <w:t>2018 yılı Ağustos ayında yaşanan finansal şokun ardından yılın ikinci yarısında daralmanın güçlü mali teşviklerle yavaşlatıldığı</w:t>
      </w:r>
      <w:r>
        <w:t>,</w:t>
      </w:r>
    </w:p>
    <w:p w:rsidR="00E2557A" w:rsidRDefault="00E2557A" w:rsidP="00E2557A">
      <w:pPr>
        <w:pStyle w:val="ListeParagraf"/>
        <w:numPr>
          <w:ilvl w:val="0"/>
          <w:numId w:val="1"/>
        </w:numPr>
        <w:ind w:right="141"/>
        <w:jc w:val="both"/>
      </w:pPr>
      <w:r>
        <w:t xml:space="preserve">2019 yılı Mart ayında gerçekleşen </w:t>
      </w:r>
      <w:r w:rsidRPr="00F36286">
        <w:t xml:space="preserve">yerel seçimler sonrasında yatırımcı belirsizliğinin yüksek seviyelerde kalmaya devam </w:t>
      </w:r>
      <w:r>
        <w:t>ettiği,</w:t>
      </w:r>
    </w:p>
    <w:p w:rsidR="00E2557A" w:rsidRDefault="00E2557A" w:rsidP="00E2557A">
      <w:pPr>
        <w:pStyle w:val="ListeParagraf"/>
        <w:numPr>
          <w:ilvl w:val="0"/>
          <w:numId w:val="1"/>
        </w:numPr>
        <w:ind w:right="141"/>
        <w:jc w:val="both"/>
      </w:pPr>
      <w:r w:rsidRPr="00A76C35">
        <w:t xml:space="preserve">Makroekonomik </w:t>
      </w:r>
      <w:r>
        <w:t xml:space="preserve">performansın itici </w:t>
      </w:r>
      <w:r w:rsidRPr="00A76C35">
        <w:t>gücü olan hane</w:t>
      </w:r>
      <w:r>
        <w:t xml:space="preserve"> </w:t>
      </w:r>
      <w:r w:rsidRPr="00A76C35">
        <w:t xml:space="preserve">halkı </w:t>
      </w:r>
      <w:r>
        <w:t xml:space="preserve">tüketiminin, artan işsizlik oranının ve hane halkının ekonomiye </w:t>
      </w:r>
      <w:r w:rsidRPr="00A76C35">
        <w:t xml:space="preserve">güveninin </w:t>
      </w:r>
      <w:r>
        <w:t>azalması</w:t>
      </w:r>
      <w:r w:rsidRPr="00A76C35">
        <w:t xml:space="preserve"> nedeniyle</w:t>
      </w:r>
      <w:r>
        <w:t>,</w:t>
      </w:r>
      <w:r w:rsidRPr="00A76C35">
        <w:t xml:space="preserve"> çok güçlü mali teşviklere rağmen, 2019 yılının ilk çeyreğinde zayıf </w:t>
      </w:r>
      <w:r>
        <w:t>kaldığı,</w:t>
      </w:r>
    </w:p>
    <w:p w:rsidR="00E2557A" w:rsidRDefault="00E2557A" w:rsidP="00E2557A">
      <w:pPr>
        <w:pStyle w:val="ListeParagraf"/>
        <w:numPr>
          <w:ilvl w:val="0"/>
          <w:numId w:val="1"/>
        </w:numPr>
        <w:ind w:right="141"/>
        <w:jc w:val="both"/>
      </w:pPr>
      <w:r w:rsidRPr="00A76C35">
        <w:t xml:space="preserve">İş dünyası ve </w:t>
      </w:r>
      <w:r>
        <w:t xml:space="preserve">hane </w:t>
      </w:r>
      <w:r w:rsidRPr="00A76C35">
        <w:t>halkı</w:t>
      </w:r>
      <w:r>
        <w:t>nın</w:t>
      </w:r>
      <w:r w:rsidRPr="00A76C35">
        <w:t xml:space="preserve"> artan</w:t>
      </w:r>
      <w:r>
        <w:t xml:space="preserve"> belirsizlikten etkilendiği,</w:t>
      </w:r>
    </w:p>
    <w:p w:rsidR="00E2557A" w:rsidRPr="006307B8" w:rsidRDefault="00E2557A" w:rsidP="00E2557A">
      <w:pPr>
        <w:pStyle w:val="ListeParagraf"/>
        <w:numPr>
          <w:ilvl w:val="0"/>
          <w:numId w:val="1"/>
        </w:numPr>
        <w:ind w:right="141"/>
        <w:jc w:val="both"/>
      </w:pPr>
      <w:r w:rsidRPr="006307B8">
        <w:t>TCMB’nin güvenilirliğini artırması ve uluslararası net rezerv pozisyonunu yeniden inşa etmesi gerektiği,</w:t>
      </w:r>
    </w:p>
    <w:p w:rsidR="00E2557A" w:rsidRPr="006307B8" w:rsidRDefault="00E2557A" w:rsidP="00E2557A">
      <w:pPr>
        <w:pStyle w:val="ListeParagraf"/>
        <w:numPr>
          <w:ilvl w:val="0"/>
          <w:numId w:val="1"/>
        </w:numPr>
        <w:ind w:right="141"/>
        <w:jc w:val="both"/>
      </w:pPr>
      <w:r w:rsidRPr="006307B8">
        <w:t>Maliye politikasının ise daha şeffaf ve tahmin edilebilir olması gerektiği,</w:t>
      </w:r>
    </w:p>
    <w:p w:rsidR="003D406E" w:rsidRPr="006307B8" w:rsidRDefault="00E2557A" w:rsidP="00E2557A">
      <w:pPr>
        <w:pStyle w:val="ListeParagraf"/>
        <w:numPr>
          <w:ilvl w:val="0"/>
          <w:numId w:val="1"/>
        </w:numPr>
        <w:ind w:right="141"/>
        <w:jc w:val="both"/>
      </w:pPr>
      <w:r w:rsidRPr="006307B8">
        <w:lastRenderedPageBreak/>
        <w:t>Özel sektör tüketim harcamalarındaki daralma (-%</w:t>
      </w:r>
      <w:r w:rsidR="003D406E" w:rsidRPr="006307B8">
        <w:t>6,1</w:t>
      </w:r>
      <w:r w:rsidRPr="006307B8">
        <w:t>) ile ya</w:t>
      </w:r>
      <w:r w:rsidR="006307B8" w:rsidRPr="006307B8">
        <w:t xml:space="preserve">tırım harcamalarındaki gerilemenin(-%6,8) </w:t>
      </w:r>
      <w:r w:rsidRPr="006307B8">
        <w:t xml:space="preserve">2019 yılındaki negatif büyüme oranının </w:t>
      </w:r>
      <w:r w:rsidR="003D406E" w:rsidRPr="006307B8">
        <w:t>arkasındaki</w:t>
      </w:r>
      <w:r w:rsidRPr="006307B8">
        <w:t xml:space="preserve"> </w:t>
      </w:r>
      <w:r w:rsidR="003D406E" w:rsidRPr="006307B8">
        <w:t>faktörler olduğu,</w:t>
      </w:r>
    </w:p>
    <w:p w:rsidR="00E2557A" w:rsidRPr="006307B8" w:rsidRDefault="003D406E" w:rsidP="00E2557A">
      <w:pPr>
        <w:pStyle w:val="ListeParagraf"/>
        <w:numPr>
          <w:ilvl w:val="0"/>
          <w:numId w:val="1"/>
        </w:numPr>
        <w:ind w:right="141"/>
        <w:jc w:val="both"/>
      </w:pPr>
      <w:r w:rsidRPr="006307B8">
        <w:t>N</w:t>
      </w:r>
      <w:r w:rsidR="00E2557A" w:rsidRPr="006307B8">
        <w:t>et ihracatın büyümeye katkısının (%</w:t>
      </w:r>
      <w:r w:rsidRPr="006307B8">
        <w:t>4,1) olumlu olmasının beklendiği,</w:t>
      </w:r>
    </w:p>
    <w:p w:rsidR="00E2557A" w:rsidRDefault="00E2557A" w:rsidP="00E2557A">
      <w:pPr>
        <w:ind w:right="141"/>
        <w:jc w:val="both"/>
      </w:pPr>
      <w:r>
        <w:t xml:space="preserve">İfade edilmiştir. </w:t>
      </w:r>
    </w:p>
    <w:p w:rsidR="00E2557A" w:rsidRPr="00F36286" w:rsidRDefault="00E2557A" w:rsidP="00E2557A">
      <w:pPr>
        <w:ind w:right="141"/>
        <w:jc w:val="both"/>
      </w:pPr>
      <w:r>
        <w:t xml:space="preserve">Ayrıca, 2019 yılında ekonomi üzerinde baskı oluşturabilecek bir şok yaşanmaması durumunda yılın ikinci yarısında ekonominin toparlanmasının beklendiği ancak buna rağmen 2019 ve 2020 yıllarındaki büyümenin 2018 yılından düşük seviyelerde kalmaya devam etmesinin beklendiği vurgulanmıştır. </w:t>
      </w:r>
    </w:p>
    <w:p w:rsidR="00E2557A" w:rsidRDefault="00E2557A" w:rsidP="00E2557A">
      <w:pPr>
        <w:ind w:right="141"/>
        <w:jc w:val="both"/>
        <w:rPr>
          <w:b/>
        </w:rPr>
      </w:pPr>
      <w:r>
        <w:rPr>
          <w:b/>
        </w:rPr>
        <w:t>Değerlendirme:</w:t>
      </w:r>
    </w:p>
    <w:p w:rsidR="00E2557A" w:rsidRDefault="00E2557A" w:rsidP="00E2557A">
      <w:pPr>
        <w:ind w:right="141"/>
        <w:jc w:val="both"/>
      </w:pPr>
      <w:r>
        <w:t>Küresel ekonomiye ilişkin olarak ise daha önce belirtilen risklerin varlığını koruduğu görülmektedir. Çin ile ABD arasındaki görüşmelerden sonuç alınamamış olması ve karşılıklı ilave tarifelerin yürürlüğe konmasının önümüzdeki dönemde küresel büyümeye ilişkin olumsuz beklentileri güçlendirmektedir.</w:t>
      </w:r>
    </w:p>
    <w:p w:rsidR="00E2557A" w:rsidRDefault="00E2557A" w:rsidP="00E2557A">
      <w:pPr>
        <w:ind w:right="141"/>
        <w:jc w:val="both"/>
      </w:pPr>
      <w:r>
        <w:t xml:space="preserve">Bugün yayımladığı raporda OECD, </w:t>
      </w:r>
      <w:r w:rsidRPr="00F7522D">
        <w:t xml:space="preserve">Türkiye ekonomisinin 2019 yılının ikinci yarısından itibaren toparlanmasının beklendiği belirtilmiş olup uluslararası ve iç piyasada beklenmedik bir durum yaşanmadığı takdirde ülke risk priminin normale döneceği ve yatırım maliyetlerinin azalacağı vurgulanmıştır. </w:t>
      </w:r>
      <w:r>
        <w:t xml:space="preserve"> Özellikle ihracat ve turizm gelirlerinin katkısı ile üçüncü çeyrekten itibaren baz etkisinin görülmesiyle makroekonomik göstergelerde iyileşme olacağı tarafımızca da değerlendirilmektedir.</w:t>
      </w:r>
    </w:p>
    <w:p w:rsidR="009057F0" w:rsidRDefault="00E2557A" w:rsidP="00E2557A">
      <w:pPr>
        <w:ind w:right="141"/>
        <w:jc w:val="both"/>
      </w:pPr>
      <w:r>
        <w:t xml:space="preserve">Diğer taraftan, 25 - 26 Nisan tarihlerinde Paris’te düzenlenen OECD Kısa Dönem Ekonomik Tahminler (STEP) Çalışma Grubu toplantısında, Türkiye’nin </w:t>
      </w:r>
      <w:r>
        <w:rPr>
          <w:b/>
        </w:rPr>
        <w:t xml:space="preserve">2019 yılına ilişkin ekonomik büyüme beklentisini 1 yüzde puan aşağı yönlü revize ile -%2,8 olarak belirleyen OECD, bugün yayımladığı raporda büyüme beklentisini 0,2 puan yukarı yönde revize etmiştir. </w:t>
      </w:r>
      <w:r w:rsidRPr="00E2557A">
        <w:t>Uluslararası kuruluşların tahminleri dikkate alındığında</w:t>
      </w:r>
      <w:r w:rsidR="003D406E">
        <w:t>,</w:t>
      </w:r>
      <w:r w:rsidRPr="00E2557A">
        <w:t xml:space="preserve"> OECD tarafından yapılan </w:t>
      </w:r>
      <w:r>
        <w:t>ekonomik daralma beklentisinin</w:t>
      </w:r>
      <w:r w:rsidRPr="00E2557A">
        <w:t xml:space="preserve"> ortalamanın üzerinde yer aldığı görülmektedir.</w:t>
      </w:r>
      <w:r>
        <w:t xml:space="preserve"> </w:t>
      </w:r>
      <w:r w:rsidR="003D406E">
        <w:t xml:space="preserve">Diğer taraftan, </w:t>
      </w:r>
      <w:r>
        <w:t>TCMB tarafından yapılan beklenti an</w:t>
      </w:r>
      <w:r w:rsidR="003D406E">
        <w:t>ketinin</w:t>
      </w:r>
      <w:r>
        <w:t xml:space="preserve"> 2019 yılı için </w:t>
      </w:r>
      <w:r w:rsidR="003D406E">
        <w:t xml:space="preserve">%0,3 </w:t>
      </w:r>
      <w:r>
        <w:t>büyümeye işar</w:t>
      </w:r>
      <w:r w:rsidR="003D406E">
        <w:t>et etmesine karşın önceki anket sonuçlarına</w:t>
      </w:r>
      <w:r>
        <w:t xml:space="preserve"> göre</w:t>
      </w:r>
      <w:r w:rsidR="003D406E">
        <w:t>,</w:t>
      </w:r>
      <w:r>
        <w:t xml:space="preserve"> 0,3 yüzde puan aşağı yönde revize söz konusudur. </w:t>
      </w:r>
    </w:p>
    <w:p w:rsidR="009057F0" w:rsidRDefault="009057F0">
      <w:r>
        <w:br w:type="page"/>
      </w:r>
    </w:p>
    <w:p w:rsidR="009057F0" w:rsidRPr="009057F0" w:rsidRDefault="009057F0" w:rsidP="00E2557A">
      <w:pPr>
        <w:ind w:right="141"/>
        <w:jc w:val="both"/>
      </w:pPr>
    </w:p>
    <w:tbl>
      <w:tblPr>
        <w:tblStyle w:val="TabloKlavuzu"/>
        <w:tblW w:w="0" w:type="auto"/>
        <w:tblLook w:val="04A0" w:firstRow="1" w:lastRow="0" w:firstColumn="1" w:lastColumn="0" w:noHBand="0" w:noVBand="1"/>
      </w:tblPr>
      <w:tblGrid>
        <w:gridCol w:w="4531"/>
        <w:gridCol w:w="1510"/>
        <w:gridCol w:w="3021"/>
      </w:tblGrid>
      <w:tr w:rsidR="00E2557A" w:rsidRPr="00E2557A" w:rsidTr="00E2557A">
        <w:tc>
          <w:tcPr>
            <w:tcW w:w="4531" w:type="dxa"/>
          </w:tcPr>
          <w:p w:rsidR="00E2557A" w:rsidRPr="00E2557A" w:rsidRDefault="00E2557A" w:rsidP="00E2557A">
            <w:pPr>
              <w:jc w:val="center"/>
              <w:rPr>
                <w:b/>
                <w:color w:val="000000" w:themeColor="text1"/>
              </w:rPr>
            </w:pPr>
            <w:r w:rsidRPr="00E2557A">
              <w:rPr>
                <w:b/>
                <w:color w:val="000000" w:themeColor="text1"/>
              </w:rPr>
              <w:t>Uluslararası Kuruluşların Büyüme Tahminleri</w:t>
            </w:r>
          </w:p>
        </w:tc>
        <w:tc>
          <w:tcPr>
            <w:tcW w:w="1510" w:type="dxa"/>
          </w:tcPr>
          <w:p w:rsidR="00E2557A" w:rsidRPr="00E2557A" w:rsidRDefault="00E2557A" w:rsidP="00E2557A">
            <w:pPr>
              <w:jc w:val="center"/>
              <w:rPr>
                <w:b/>
                <w:color w:val="000000" w:themeColor="text1"/>
              </w:rPr>
            </w:pPr>
            <w:r w:rsidRPr="00E2557A">
              <w:rPr>
                <w:b/>
                <w:color w:val="000000" w:themeColor="text1"/>
              </w:rPr>
              <w:t>2019</w:t>
            </w:r>
          </w:p>
        </w:tc>
        <w:tc>
          <w:tcPr>
            <w:tcW w:w="3021" w:type="dxa"/>
          </w:tcPr>
          <w:p w:rsidR="00E2557A" w:rsidRPr="00E2557A" w:rsidRDefault="00E2557A" w:rsidP="00E2557A">
            <w:pPr>
              <w:jc w:val="center"/>
              <w:rPr>
                <w:b/>
                <w:color w:val="000000" w:themeColor="text1"/>
              </w:rPr>
            </w:pPr>
            <w:r w:rsidRPr="00E2557A">
              <w:rPr>
                <w:b/>
                <w:color w:val="000000" w:themeColor="text1"/>
              </w:rPr>
              <w:t>2020</w:t>
            </w:r>
          </w:p>
        </w:tc>
      </w:tr>
      <w:tr w:rsidR="00E2557A" w:rsidTr="00E2557A">
        <w:tc>
          <w:tcPr>
            <w:tcW w:w="4531" w:type="dxa"/>
          </w:tcPr>
          <w:p w:rsidR="00E2557A" w:rsidRDefault="00E2557A" w:rsidP="00E2557A">
            <w:pPr>
              <w:jc w:val="center"/>
            </w:pPr>
            <w:r>
              <w:t>AB Komisyonu</w:t>
            </w:r>
          </w:p>
        </w:tc>
        <w:tc>
          <w:tcPr>
            <w:tcW w:w="1510" w:type="dxa"/>
          </w:tcPr>
          <w:p w:rsidR="00E2557A" w:rsidRDefault="00E2557A" w:rsidP="00E2557A">
            <w:pPr>
              <w:jc w:val="center"/>
            </w:pPr>
            <w:r>
              <w:t>-%2,3</w:t>
            </w:r>
          </w:p>
        </w:tc>
        <w:tc>
          <w:tcPr>
            <w:tcW w:w="3021" w:type="dxa"/>
          </w:tcPr>
          <w:p w:rsidR="00E2557A" w:rsidRDefault="00E2557A" w:rsidP="00E2557A">
            <w:pPr>
              <w:jc w:val="center"/>
            </w:pPr>
            <w:r>
              <w:t>%3,9</w:t>
            </w:r>
          </w:p>
        </w:tc>
      </w:tr>
      <w:tr w:rsidR="00E2557A" w:rsidTr="00E2557A">
        <w:tc>
          <w:tcPr>
            <w:tcW w:w="4531" w:type="dxa"/>
          </w:tcPr>
          <w:p w:rsidR="00E2557A" w:rsidRDefault="00E2557A" w:rsidP="00E2557A">
            <w:pPr>
              <w:jc w:val="center"/>
            </w:pPr>
            <w:r>
              <w:t>IMF</w:t>
            </w:r>
          </w:p>
        </w:tc>
        <w:tc>
          <w:tcPr>
            <w:tcW w:w="1510" w:type="dxa"/>
          </w:tcPr>
          <w:p w:rsidR="00E2557A" w:rsidRDefault="00E2557A" w:rsidP="00E2557A">
            <w:pPr>
              <w:jc w:val="center"/>
            </w:pPr>
            <w:r>
              <w:t>-%2,5</w:t>
            </w:r>
          </w:p>
        </w:tc>
        <w:tc>
          <w:tcPr>
            <w:tcW w:w="3021" w:type="dxa"/>
          </w:tcPr>
          <w:p w:rsidR="00E2557A" w:rsidRDefault="00E2557A" w:rsidP="00E2557A">
            <w:pPr>
              <w:jc w:val="center"/>
            </w:pPr>
            <w:r>
              <w:t>%2,5</w:t>
            </w:r>
          </w:p>
        </w:tc>
      </w:tr>
      <w:tr w:rsidR="00E2557A" w:rsidTr="00E2557A">
        <w:tc>
          <w:tcPr>
            <w:tcW w:w="4531" w:type="dxa"/>
          </w:tcPr>
          <w:p w:rsidR="00E2557A" w:rsidRDefault="00E2557A" w:rsidP="00E2557A">
            <w:pPr>
              <w:jc w:val="center"/>
            </w:pPr>
            <w:r>
              <w:t>OECD</w:t>
            </w:r>
          </w:p>
        </w:tc>
        <w:tc>
          <w:tcPr>
            <w:tcW w:w="1510" w:type="dxa"/>
          </w:tcPr>
          <w:p w:rsidR="00E2557A" w:rsidRDefault="00E2557A" w:rsidP="00E2557A">
            <w:pPr>
              <w:jc w:val="center"/>
            </w:pPr>
            <w:r>
              <w:t>-%2,6</w:t>
            </w:r>
          </w:p>
        </w:tc>
        <w:tc>
          <w:tcPr>
            <w:tcW w:w="3021" w:type="dxa"/>
          </w:tcPr>
          <w:p w:rsidR="00E2557A" w:rsidRDefault="00E2557A" w:rsidP="00E2557A">
            <w:pPr>
              <w:jc w:val="center"/>
            </w:pPr>
            <w:r>
              <w:t>%1,6</w:t>
            </w:r>
          </w:p>
        </w:tc>
      </w:tr>
      <w:tr w:rsidR="00E2557A" w:rsidTr="00E2557A">
        <w:tc>
          <w:tcPr>
            <w:tcW w:w="4531" w:type="dxa"/>
          </w:tcPr>
          <w:p w:rsidR="00E2557A" w:rsidRDefault="00E2557A" w:rsidP="00E2557A">
            <w:pPr>
              <w:jc w:val="center"/>
            </w:pPr>
            <w:r>
              <w:t>EBRD</w:t>
            </w:r>
          </w:p>
        </w:tc>
        <w:tc>
          <w:tcPr>
            <w:tcW w:w="1510" w:type="dxa"/>
          </w:tcPr>
          <w:p w:rsidR="00E2557A" w:rsidRDefault="00E2557A" w:rsidP="00E2557A">
            <w:pPr>
              <w:jc w:val="center"/>
            </w:pPr>
            <w:r>
              <w:t>-%1,0</w:t>
            </w:r>
          </w:p>
        </w:tc>
        <w:tc>
          <w:tcPr>
            <w:tcW w:w="3021" w:type="dxa"/>
          </w:tcPr>
          <w:p w:rsidR="00E2557A" w:rsidRDefault="00E2557A" w:rsidP="00E2557A">
            <w:pPr>
              <w:jc w:val="center"/>
            </w:pPr>
            <w:r>
              <w:t>%2,5</w:t>
            </w:r>
          </w:p>
        </w:tc>
      </w:tr>
      <w:tr w:rsidR="00E2557A" w:rsidTr="00E2557A">
        <w:tc>
          <w:tcPr>
            <w:tcW w:w="4531" w:type="dxa"/>
          </w:tcPr>
          <w:p w:rsidR="00E2557A" w:rsidRPr="00E2557A" w:rsidRDefault="00E2557A" w:rsidP="00E2557A">
            <w:pPr>
              <w:jc w:val="center"/>
              <w:rPr>
                <w:b/>
                <w:color w:val="C00000"/>
              </w:rPr>
            </w:pPr>
            <w:r w:rsidRPr="00E2557A">
              <w:rPr>
                <w:b/>
                <w:color w:val="C00000"/>
              </w:rPr>
              <w:t>Genel Ortalama</w:t>
            </w:r>
          </w:p>
        </w:tc>
        <w:tc>
          <w:tcPr>
            <w:tcW w:w="1510" w:type="dxa"/>
          </w:tcPr>
          <w:p w:rsidR="00E2557A" w:rsidRPr="00E2557A" w:rsidRDefault="00E2557A" w:rsidP="00E2557A">
            <w:pPr>
              <w:jc w:val="center"/>
              <w:rPr>
                <w:b/>
                <w:color w:val="C00000"/>
              </w:rPr>
            </w:pPr>
            <w:r w:rsidRPr="00E2557A">
              <w:rPr>
                <w:b/>
                <w:color w:val="C00000"/>
              </w:rPr>
              <w:t>-%2,1</w:t>
            </w:r>
          </w:p>
        </w:tc>
        <w:tc>
          <w:tcPr>
            <w:tcW w:w="3021" w:type="dxa"/>
          </w:tcPr>
          <w:p w:rsidR="00E2557A" w:rsidRPr="00E2557A" w:rsidRDefault="00E2557A" w:rsidP="00E2557A">
            <w:pPr>
              <w:jc w:val="center"/>
              <w:rPr>
                <w:b/>
                <w:color w:val="C00000"/>
              </w:rPr>
            </w:pPr>
            <w:r w:rsidRPr="00E2557A">
              <w:rPr>
                <w:b/>
                <w:color w:val="C00000"/>
              </w:rPr>
              <w:t>%2,6</w:t>
            </w:r>
          </w:p>
        </w:tc>
      </w:tr>
      <w:tr w:rsidR="00E2557A" w:rsidTr="00E2557A">
        <w:tc>
          <w:tcPr>
            <w:tcW w:w="4531" w:type="dxa"/>
          </w:tcPr>
          <w:p w:rsidR="00E2557A" w:rsidRPr="00E2557A" w:rsidRDefault="00E2557A" w:rsidP="00E2557A">
            <w:pPr>
              <w:jc w:val="center"/>
              <w:rPr>
                <w:i/>
                <w:color w:val="C00000"/>
              </w:rPr>
            </w:pPr>
            <w:r w:rsidRPr="00E2557A">
              <w:rPr>
                <w:i/>
                <w:color w:val="000000" w:themeColor="text1"/>
              </w:rPr>
              <w:t>TCMB Beklenti Anketi</w:t>
            </w:r>
          </w:p>
        </w:tc>
        <w:tc>
          <w:tcPr>
            <w:tcW w:w="1510" w:type="dxa"/>
          </w:tcPr>
          <w:p w:rsidR="00E2557A" w:rsidRPr="00E2557A" w:rsidRDefault="00E2557A" w:rsidP="00E2557A">
            <w:pPr>
              <w:jc w:val="center"/>
              <w:rPr>
                <w:i/>
                <w:color w:val="000000" w:themeColor="text1"/>
              </w:rPr>
            </w:pPr>
            <w:r w:rsidRPr="00E2557A">
              <w:rPr>
                <w:i/>
                <w:color w:val="000000" w:themeColor="text1"/>
              </w:rPr>
              <w:t>%0,3</w:t>
            </w:r>
          </w:p>
        </w:tc>
        <w:tc>
          <w:tcPr>
            <w:tcW w:w="3021" w:type="dxa"/>
          </w:tcPr>
          <w:p w:rsidR="00E2557A" w:rsidRPr="00E2557A" w:rsidRDefault="00E2557A" w:rsidP="00E2557A">
            <w:pPr>
              <w:jc w:val="center"/>
              <w:rPr>
                <w:i/>
                <w:color w:val="000000" w:themeColor="text1"/>
              </w:rPr>
            </w:pPr>
            <w:r w:rsidRPr="00E2557A">
              <w:rPr>
                <w:i/>
                <w:color w:val="000000" w:themeColor="text1"/>
              </w:rPr>
              <w:t>%2,9</w:t>
            </w:r>
          </w:p>
        </w:tc>
      </w:tr>
    </w:tbl>
    <w:p w:rsidR="00D44EA8" w:rsidRDefault="002E6BE6"/>
    <w:p w:rsidR="009057F0" w:rsidRDefault="009057F0" w:rsidP="00F046EA">
      <w:pPr>
        <w:spacing w:line="276" w:lineRule="auto"/>
        <w:jc w:val="both"/>
        <w:rPr>
          <w:sz w:val="24"/>
          <w:szCs w:val="24"/>
        </w:rPr>
      </w:pPr>
    </w:p>
    <w:p w:rsidR="00F046EA" w:rsidRPr="00800DBC" w:rsidRDefault="00F046EA" w:rsidP="00F046EA">
      <w:pPr>
        <w:spacing w:line="276" w:lineRule="auto"/>
        <w:jc w:val="both"/>
        <w:rPr>
          <w:i/>
          <w:sz w:val="24"/>
          <w:szCs w:val="24"/>
        </w:rPr>
      </w:pPr>
      <w:r w:rsidRPr="00800DBC">
        <w:rPr>
          <w:i/>
          <w:sz w:val="24"/>
          <w:szCs w:val="24"/>
        </w:rPr>
        <w:t xml:space="preserve">Raporun orijinaline aşağıdaki linkten ulaşılabilir: </w:t>
      </w:r>
    </w:p>
    <w:p w:rsidR="00F046EA" w:rsidRPr="00800DBC" w:rsidRDefault="002E6BE6">
      <w:pPr>
        <w:rPr>
          <w:i/>
        </w:rPr>
      </w:pPr>
      <w:hyperlink r:id="rId8" w:history="1">
        <w:r w:rsidR="00F046EA" w:rsidRPr="00800DBC">
          <w:rPr>
            <w:rStyle w:val="Kpr"/>
            <w:i/>
          </w:rPr>
          <w:t>https://www.oecd-ilibrary.org/sites/</w:t>
        </w:r>
      </w:hyperlink>
    </w:p>
    <w:sectPr w:rsidR="00F046EA" w:rsidRPr="00800DBC" w:rsidSect="00712864">
      <w:headerReference w:type="default" r:id="rId9"/>
      <w:footerReference w:type="default" r:id="rId10"/>
      <w:pgSz w:w="11906" w:h="16838"/>
      <w:pgMar w:top="270" w:right="1417" w:bottom="709" w:left="1417"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BE6" w:rsidRDefault="002E6BE6">
      <w:pPr>
        <w:spacing w:after="0" w:line="240" w:lineRule="auto"/>
      </w:pPr>
      <w:r>
        <w:separator/>
      </w:r>
    </w:p>
  </w:endnote>
  <w:endnote w:type="continuationSeparator" w:id="0">
    <w:p w:rsidR="002E6BE6" w:rsidRDefault="002E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538702"/>
      <w:docPartObj>
        <w:docPartGallery w:val="Page Numbers (Bottom of Page)"/>
        <w:docPartUnique/>
      </w:docPartObj>
    </w:sdtPr>
    <w:sdtEndPr/>
    <w:sdtContent>
      <w:sdt>
        <w:sdtPr>
          <w:id w:val="473965494"/>
          <w:docPartObj>
            <w:docPartGallery w:val="Page Numbers (Top of Page)"/>
            <w:docPartUnique/>
          </w:docPartObj>
        </w:sdtPr>
        <w:sdtEndPr/>
        <w:sdtContent>
          <w:p w:rsidR="00A55577" w:rsidRDefault="005A22AD">
            <w:pPr>
              <w:pStyle w:val="AltBilgi"/>
              <w:jc w:val="right"/>
            </w:pPr>
            <w:r>
              <w:rPr>
                <w:b/>
                <w:bCs/>
                <w:sz w:val="24"/>
                <w:szCs w:val="24"/>
              </w:rPr>
              <w:fldChar w:fldCharType="begin"/>
            </w:r>
            <w:r>
              <w:rPr>
                <w:b/>
                <w:bCs/>
              </w:rPr>
              <w:instrText>PAGE</w:instrText>
            </w:r>
            <w:r>
              <w:rPr>
                <w:b/>
                <w:bCs/>
                <w:sz w:val="24"/>
                <w:szCs w:val="24"/>
              </w:rPr>
              <w:fldChar w:fldCharType="separate"/>
            </w:r>
            <w:r w:rsidR="004546CF">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546CF">
              <w:rPr>
                <w:b/>
                <w:bCs/>
                <w:noProof/>
              </w:rPr>
              <w:t>1</w:t>
            </w:r>
            <w:r>
              <w:rPr>
                <w:b/>
                <w:bCs/>
                <w:sz w:val="24"/>
                <w:szCs w:val="24"/>
              </w:rPr>
              <w:fldChar w:fldCharType="end"/>
            </w:r>
          </w:p>
        </w:sdtContent>
      </w:sdt>
    </w:sdtContent>
  </w:sdt>
  <w:p w:rsidR="00A55577" w:rsidRDefault="002E6BE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BE6" w:rsidRDefault="002E6BE6">
      <w:pPr>
        <w:spacing w:after="0" w:line="240" w:lineRule="auto"/>
      </w:pPr>
      <w:r>
        <w:separator/>
      </w:r>
    </w:p>
  </w:footnote>
  <w:footnote w:type="continuationSeparator" w:id="0">
    <w:p w:rsidR="002E6BE6" w:rsidRDefault="002E6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77" w:rsidRDefault="005A22AD">
    <w:pPr>
      <w:pStyle w:val="stBilgi"/>
    </w:pPr>
    <w:r>
      <w:t>T.C. Ticaret Bakanlığı</w:t>
    </w:r>
    <w:r>
      <w:tab/>
    </w:r>
    <w:r>
      <w:tab/>
      <w:t>21.05.2019</w:t>
    </w:r>
  </w:p>
  <w:p w:rsidR="00A55577" w:rsidRDefault="005A22AD">
    <w:pPr>
      <w:pStyle w:val="stBilgi"/>
    </w:pPr>
    <w:r>
      <w:t>Ticaret Araştırmaları Genel Müdürlüğü</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E029A"/>
    <w:multiLevelType w:val="hybridMultilevel"/>
    <w:tmpl w:val="FF9CC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E094C57"/>
    <w:multiLevelType w:val="hybridMultilevel"/>
    <w:tmpl w:val="EDE2BB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F7920BC"/>
    <w:multiLevelType w:val="hybridMultilevel"/>
    <w:tmpl w:val="2A1610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26"/>
    <w:rsid w:val="002E6BE6"/>
    <w:rsid w:val="003D406E"/>
    <w:rsid w:val="004546CF"/>
    <w:rsid w:val="00495F62"/>
    <w:rsid w:val="004A1996"/>
    <w:rsid w:val="004F3DE6"/>
    <w:rsid w:val="005A22AD"/>
    <w:rsid w:val="005B5192"/>
    <w:rsid w:val="00615DCD"/>
    <w:rsid w:val="006307B8"/>
    <w:rsid w:val="00800DBC"/>
    <w:rsid w:val="008B0026"/>
    <w:rsid w:val="008B72B4"/>
    <w:rsid w:val="009057F0"/>
    <w:rsid w:val="009E50A4"/>
    <w:rsid w:val="00B62BBE"/>
    <w:rsid w:val="00BC1B9C"/>
    <w:rsid w:val="00DE322C"/>
    <w:rsid w:val="00E2557A"/>
    <w:rsid w:val="00F046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FBD66-A0F0-49D6-9A00-1FFC7E6A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557A"/>
    <w:pPr>
      <w:ind w:left="720"/>
      <w:contextualSpacing/>
    </w:pPr>
  </w:style>
  <w:style w:type="paragraph" w:styleId="stBilgi">
    <w:name w:val="header"/>
    <w:basedOn w:val="Normal"/>
    <w:link w:val="stBilgiChar"/>
    <w:uiPriority w:val="99"/>
    <w:unhideWhenUsed/>
    <w:rsid w:val="00E255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2557A"/>
  </w:style>
  <w:style w:type="paragraph" w:styleId="AltBilgi">
    <w:name w:val="footer"/>
    <w:basedOn w:val="Normal"/>
    <w:link w:val="AltBilgiChar"/>
    <w:uiPriority w:val="99"/>
    <w:unhideWhenUsed/>
    <w:rsid w:val="00E255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2557A"/>
  </w:style>
  <w:style w:type="table" w:styleId="TabloKlavuzu">
    <w:name w:val="Table Grid"/>
    <w:basedOn w:val="NormalTablo"/>
    <w:uiPriority w:val="39"/>
    <w:rsid w:val="00E2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046EA"/>
    <w:rPr>
      <w:color w:val="0563C1"/>
      <w:u w:val="single"/>
    </w:rPr>
  </w:style>
  <w:style w:type="character" w:styleId="zlenenKpr">
    <w:name w:val="FollowedHyperlink"/>
    <w:basedOn w:val="VarsaylanParagrafYazTipi"/>
    <w:uiPriority w:val="99"/>
    <w:semiHidden/>
    <w:unhideWhenUsed/>
    <w:rsid w:val="00F046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035351">
      <w:bodyDiv w:val="1"/>
      <w:marLeft w:val="0"/>
      <w:marRight w:val="0"/>
      <w:marTop w:val="0"/>
      <w:marBottom w:val="0"/>
      <w:divBdr>
        <w:top w:val="none" w:sz="0" w:space="0" w:color="auto"/>
        <w:left w:val="none" w:sz="0" w:space="0" w:color="auto"/>
        <w:bottom w:val="none" w:sz="0" w:space="0" w:color="auto"/>
        <w:right w:val="none" w:sz="0" w:space="0" w:color="auto"/>
      </w:divBdr>
    </w:div>
    <w:div w:id="1897547697">
      <w:bodyDiv w:val="1"/>
      <w:marLeft w:val="0"/>
      <w:marRight w:val="0"/>
      <w:marTop w:val="0"/>
      <w:marBottom w:val="0"/>
      <w:divBdr>
        <w:top w:val="none" w:sz="0" w:space="0" w:color="auto"/>
        <w:left w:val="none" w:sz="0" w:space="0" w:color="auto"/>
        <w:bottom w:val="none" w:sz="0" w:space="0" w:color="auto"/>
        <w:right w:val="none" w:sz="0" w:space="0" w:color="auto"/>
      </w:divBdr>
    </w:div>
    <w:div w:id="212109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ilibrary.org/sites/b2e897b0-en/1/2/1/index.html?itemId=/content/publication/b2e897b0-en&amp;_csp_=d2743ede274dd564946a04fc1f43d5dc&amp;itemIGO=oecd&amp;itemContentType=boo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Berat ÖZER</dc:creator>
  <cp:keywords/>
  <dc:description/>
  <cp:lastModifiedBy>Derya KAYA</cp:lastModifiedBy>
  <cp:revision>2</cp:revision>
  <dcterms:created xsi:type="dcterms:W3CDTF">2019-08-27T12:22:00Z</dcterms:created>
  <dcterms:modified xsi:type="dcterms:W3CDTF">2019-08-27T12:22:00Z</dcterms:modified>
</cp:coreProperties>
</file>